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1549181835"/>
        <w:docPartObj>
          <w:docPartGallery w:val="Cover Pages"/>
          <w:docPartUnique/>
        </w:docPartObj>
      </w:sdtPr>
      <w:sdtEndPr>
        <w:rPr>
          <w:noProof/>
          <w:lang w:eastAsia="pt-BR"/>
        </w:rPr>
      </w:sdtEndPr>
      <w:sdtContent>
        <w:p w:rsidR="00762190" w:rsidRDefault="00762190"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49201761" wp14:editId="6F2DBDB3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  <a:grpFill/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no"/>
                                    <w:id w:val="-730932298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5-02-02T00:00:00Z">
                                      <w:dateFormat w:val="yyyy"/>
                                      <w:lid w:val="pt-B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012C9" w:rsidRDefault="008012C9">
                                      <w:pPr>
                                        <w:pStyle w:val="SemEspaament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Empresa"/>
                                    <w:id w:val="80751175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8012C9" w:rsidRDefault="008012C9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EMAP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a"/>
                                    <w:id w:val="-33291592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5-02-02T00:00:00Z">
                                      <w:dateFormat w:val="dd/MM/yyyy"/>
                                      <w:lid w:val="pt-B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8012C9" w:rsidRDefault="008012C9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02/02/2015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upo 14" o:spid="_x0000_s1026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qYcUA&#10;AADcAAAADwAAAGRycy9kb3ducmV2LnhtbESPQYvCMBSE7wv+h/AEb2vqylqpRpFFcaVerB48Pppn&#10;W2xeShO1/nuzsOBxmJlvmPmyM7W4U+sqywpGwwgEcW51xYWC03HzOQXhPLLG2jIpeJKD5aL3McdE&#10;2wcf6J75QgQIuwQVlN43iZQuL8mgG9qGOHgX2xr0QbaF1C0+AtzU8iuKJtJgxWGhxIZ+Ssqv2c0o&#10;iLM4vaXn9LR2693+MI3H9nLdKjXod6sZCE+df4f/279awXjyDX9nwhG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aphxQAAANwAAAAPAAAAAAAAAAAAAAAAAJgCAABkcnMv&#10;ZG93bnJldi54bWxQSwUGAAAAAAQABAD1AAAAigMAAAAA&#10;" filled="f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46MYA&#10;AADcAAAADwAAAGRycy9kb3ducmV2LnhtbESPQWvCQBSE74X+h+UVequbGggldZUiVepBodtC8fbM&#10;vibB7NuQXZP4711B8DjMzDfMbDHaRvTU+dqxgtdJAoK4cKbmUsHvz+rlDYQPyAYbx6TgTB4W88eH&#10;GebGDfxNvQ6liBD2OSqoQmhzKX1RkUU/cS1x9P5dZzFE2ZXSdDhEuG3kNEkyabHmuFBhS8uKiqM+&#10;WQWbtV7K03a3/9Q7PRzS1d8R+1Sp56fx4x1EoDHcw7f2l1GQZh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o46MYAAADcAAAADwAAAAAAAAAAAAAAAACYAgAAZHJz&#10;L2Rvd25yZXYueG1sUEsFBgAAAAAEAAQA9QAAAIsDAAAAAA==&#10;" filled="f" stroked="f" strokecolor="white" strokeweight="1pt">
                        <v:shadow color="#d8d8d8" offset="3pt,3pt"/>
                      </v:rect>
                    </v:group>
    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788UA&#10;AADcAAAADwAAAGRycy9kb3ducmV2LnhtbESPQWvCQBSE7wX/w/KE3upGq1Gjq5RCSy8etOr5sftM&#10;gtm3SXaraX+9Kwg9DjPzDbNcd7YSF2p96VjBcJCAINbOlJwr2H9/vMxA+IBssHJMCn7Jw3rVe1pi&#10;ZtyVt3TZhVxECPsMFRQh1JmUXhdk0Q9cTRy9k2sthijbXJoWrxFuKzlKklRaLDkuFFjTe0H6vPux&#10;CtJx83fSOt1PtuNmtGmS48HMP5V67ndvCxCBuvAffrS/jILXdA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3vzxQAAANwAAAAPAAAAAAAAAAAAAAAAAJgCAABkcnMv&#10;ZG93bnJldi54bWxQSwUGAAAAAAQABAD1AAAAig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no"/>
                              <w:id w:val="-73093229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5-02-02T00:00:00Z">
                                <w:dateFormat w:val="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012C9" w:rsidRDefault="008012C9">
                                <w:pPr>
                                  <w:pStyle w:val="SemEspaament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vgcIA&#10;AADcAAAADwAAAGRycy9kb3ducmV2LnhtbERPu27CMBTdkfgH6yKxgcOjEQQMQkhFXTpAKfOVfUki&#10;4uskdiH06+uhEuPRea+3na3EnVpfOlYwGScgiLUzJecKzl/vowUIH5ANVo5JwZM8bDf93hoz4x58&#10;pPsp5CKGsM9QQRFCnUnpdUEW/djVxJG7utZiiLDNpWnxEcNtJadJkkqLJceGAmvaF6Rvpx+rIJ03&#10;v1et0/Pbcd5MP5vk8m2WB6WGg263AhGoCy/xv/vDKJilcW0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O+BwgAAANwAAAAPAAAAAAAAAAAAAAAAAJgCAABkcnMvZG93&#10;bnJldi54bWxQSwUGAAAAAAQABAD1AAAAhw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Empresa"/>
                              <w:id w:val="80751175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8012C9" w:rsidRDefault="008012C9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EMAP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a"/>
                              <w:id w:val="-33291592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5-02-02T00:00:00Z">
                                <w:dateFormat w:val="dd/MM/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012C9" w:rsidRDefault="008012C9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02/02/2015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762190" w:rsidRDefault="00762190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4D24640" wp14:editId="51DDE828">
                    <wp:simplePos x="0" y="0"/>
                    <wp:positionH relativeFrom="page">
                      <wp:posOffset>-396816</wp:posOffset>
                    </wp:positionH>
                    <wp:positionV relativeFrom="page">
                      <wp:posOffset>5460521</wp:posOffset>
                    </wp:positionV>
                    <wp:extent cx="7935439" cy="640080"/>
                    <wp:effectExtent l="0" t="0" r="27940" b="26670"/>
                    <wp:wrapNone/>
                    <wp:docPr id="362" name="Retâ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35439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ítulo"/>
                                  <w:id w:val="-198939023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012C9" w:rsidRDefault="008012C9">
                                    <w:pPr>
                                      <w:pStyle w:val="SemEspaament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Critério de Medição: </w:t>
                                    </w:r>
                                    <w:r w:rsidR="00547468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Sinalização interna e externa do Porto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tângulo 16" o:spid="_x0000_s1032" style="position:absolute;margin-left:-31.25pt;margin-top:429.95pt;width:624.85pt;height:50.4pt;z-index:251661312;visibility:visible;mso-wrap-style:square;mso-width-percent: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ítulo"/>
                            <w:id w:val="-198939023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8012C9" w:rsidRDefault="008012C9">
                              <w:pPr>
                                <w:pStyle w:val="SemEspaamento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Critério de Medição: </w:t>
                              </w:r>
                              <w:r w:rsidR="00547468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Sinalização interna e externa do Porto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pt-BR"/>
            </w:rPr>
            <w:drawing>
              <wp:inline distT="0" distB="0" distL="0" distR="0" wp14:anchorId="48D37795" wp14:editId="739F7D32">
                <wp:extent cx="3639312" cy="3950208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rca redimensionada.jp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9312" cy="39502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pt-BR"/>
            </w:rPr>
            <w:br w:type="page"/>
          </w:r>
        </w:p>
      </w:sdtContent>
    </w:sdt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5B77B1" w:rsidRPr="003B044F" w:rsidTr="00D87F6D">
        <w:trPr>
          <w:trHeight w:val="499"/>
        </w:trPr>
        <w:tc>
          <w:tcPr>
            <w:tcW w:w="8647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:rsidR="005B77B1" w:rsidRPr="003B044F" w:rsidRDefault="005B77B1" w:rsidP="005B77B1">
            <w:pPr>
              <w:pStyle w:val="PargrafodaLista"/>
              <w:numPr>
                <w:ilvl w:val="0"/>
                <w:numId w:val="1"/>
              </w:numPr>
              <w:tabs>
                <w:tab w:val="left" w:pos="252"/>
              </w:tabs>
              <w:spacing w:line="320" w:lineRule="atLeast"/>
              <w:ind w:left="0" w:firstLine="0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3B044F">
              <w:rPr>
                <w:rFonts w:asciiTheme="minorHAnsi" w:hAnsiTheme="minorHAnsi" w:cstheme="minorHAnsi"/>
                <w:b/>
                <w:color w:val="000000"/>
                <w:sz w:val="20"/>
              </w:rPr>
              <w:lastRenderedPageBreak/>
              <w:t>OBJETIVO</w:t>
            </w:r>
          </w:p>
        </w:tc>
      </w:tr>
    </w:tbl>
    <w:p w:rsidR="000572E2" w:rsidRPr="000572E2" w:rsidRDefault="009B141A" w:rsidP="00A72C7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572E2" w:rsidRPr="000572E2">
        <w:rPr>
          <w:rFonts w:ascii="Times New Roman" w:hAnsi="Times New Roman" w:cs="Times New Roman"/>
        </w:rPr>
        <w:t xml:space="preserve">presentar critérios para medição </w:t>
      </w:r>
      <w:r w:rsidR="00486162">
        <w:rPr>
          <w:rFonts w:ascii="Times New Roman" w:hAnsi="Times New Roman" w:cs="Times New Roman"/>
        </w:rPr>
        <w:t>de itens componentes da planilha orçamentária</w:t>
      </w:r>
      <w:r w:rsidR="00EA6ADD">
        <w:rPr>
          <w:rFonts w:ascii="Times New Roman" w:hAnsi="Times New Roman" w:cs="Times New Roman"/>
        </w:rPr>
        <w:t xml:space="preserve"> referente </w:t>
      </w:r>
      <w:r w:rsidR="009C3AD9">
        <w:rPr>
          <w:rFonts w:ascii="Times New Roman" w:hAnsi="Times New Roman" w:cs="Times New Roman"/>
        </w:rPr>
        <w:t>à</w:t>
      </w:r>
      <w:r w:rsidR="00EA6ADD">
        <w:rPr>
          <w:rFonts w:ascii="Times New Roman" w:hAnsi="Times New Roman" w:cs="Times New Roman"/>
        </w:rPr>
        <w:t xml:space="preserve"> </w:t>
      </w:r>
      <w:r w:rsidR="00547468">
        <w:rPr>
          <w:rFonts w:ascii="Times New Roman" w:hAnsi="Times New Roman" w:cs="Times New Roman"/>
        </w:rPr>
        <w:t xml:space="preserve">Sinalização Interna e Externa </w:t>
      </w:r>
      <w:r w:rsidR="007B5F97">
        <w:rPr>
          <w:rFonts w:ascii="Times New Roman" w:hAnsi="Times New Roman" w:cs="Times New Roman"/>
        </w:rPr>
        <w:t>d</w:t>
      </w:r>
      <w:r w:rsidR="00EA6ADD">
        <w:rPr>
          <w:rFonts w:ascii="Times New Roman" w:hAnsi="Times New Roman" w:cs="Times New Roman"/>
        </w:rPr>
        <w:t>o Porto do Itaqui – São Luís – Maranhão.</w:t>
      </w:r>
    </w:p>
    <w:p w:rsidR="005B77B1" w:rsidRDefault="005B77B1" w:rsidP="005B77B1"/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5B77B1" w:rsidRPr="003B044F" w:rsidTr="00D87F6D">
        <w:trPr>
          <w:trHeight w:val="339"/>
        </w:trPr>
        <w:tc>
          <w:tcPr>
            <w:tcW w:w="8647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:rsidR="005B77B1" w:rsidRPr="003B044F" w:rsidRDefault="00636B82" w:rsidP="00933E48">
            <w:pPr>
              <w:pStyle w:val="PargrafodaLista"/>
              <w:numPr>
                <w:ilvl w:val="0"/>
                <w:numId w:val="1"/>
              </w:numPr>
              <w:tabs>
                <w:tab w:val="left" w:pos="252"/>
              </w:tabs>
              <w:spacing w:line="320" w:lineRule="atLeast"/>
              <w:ind w:left="0" w:firstLine="0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CRITÉRIO DE MEDIÇÃO</w:t>
            </w:r>
          </w:p>
        </w:tc>
      </w:tr>
    </w:tbl>
    <w:p w:rsidR="002A1140" w:rsidRDefault="002A1140" w:rsidP="002A114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</w:rPr>
      </w:pPr>
      <w:r w:rsidRPr="002A1140">
        <w:rPr>
          <w:rFonts w:ascii="Times New Roman" w:hAnsi="Times New Roman" w:cs="Times New Roman"/>
          <w:bCs/>
        </w:rPr>
        <w:t>As medições serão realizadas mensalmente, ou em periodicidade menor, a critério da Contratante com base no cronograma aprovado, contados a partir do início efetivo dos serviços, considerando os serviços efetivamente realizados e concluídos satisfatoriamente no período. Entendem-se como serviços concluídos satisfatoriamente aqueles formalmente aprovados pela FISCALIZACAO, dentro do prazo estipulado</w:t>
      </w:r>
      <w:r>
        <w:rPr>
          <w:rFonts w:ascii="Times New Roman" w:hAnsi="Times New Roman" w:cs="Times New Roman"/>
          <w:bCs/>
        </w:rPr>
        <w:t>.</w:t>
      </w:r>
    </w:p>
    <w:p w:rsidR="000214E8" w:rsidRPr="002A1140" w:rsidRDefault="000214E8" w:rsidP="002A114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Todas as medições deverão ser realizadas acompanhando a composição de custo unitário, podendo ser glosado, ou seja, não medido, qualquer item que porventura não seja utilizado/disponibilizado na obra, assim como por serviços mal executados não aceitos pela fiscalização.</w:t>
      </w:r>
    </w:p>
    <w:p w:rsidR="002A1140" w:rsidRDefault="002A1140" w:rsidP="002A1140">
      <w:pPr>
        <w:spacing w:line="360" w:lineRule="auto"/>
        <w:ind w:right="-1"/>
        <w:rPr>
          <w:rFonts w:ascii="Times New Roman" w:hAnsi="Times New Roman"/>
          <w:bCs/>
          <w:color w:val="000000"/>
        </w:rPr>
      </w:pPr>
    </w:p>
    <w:p w:rsidR="00547468" w:rsidRPr="00547468" w:rsidRDefault="00547468" w:rsidP="00547468">
      <w:pPr>
        <w:pStyle w:val="PargrafodaLista"/>
        <w:numPr>
          <w:ilvl w:val="0"/>
          <w:numId w:val="11"/>
        </w:numPr>
        <w:spacing w:line="360" w:lineRule="auto"/>
        <w:mirrorIndents/>
        <w:rPr>
          <w:rFonts w:ascii="Times New Roman" w:eastAsiaTheme="minorHAnsi" w:hAnsi="Times New Roman"/>
          <w:vanish/>
        </w:rPr>
      </w:pPr>
    </w:p>
    <w:p w:rsidR="00547468" w:rsidRPr="00547468" w:rsidRDefault="00547468" w:rsidP="00547468">
      <w:pPr>
        <w:pStyle w:val="PargrafodaLista"/>
        <w:numPr>
          <w:ilvl w:val="0"/>
          <w:numId w:val="11"/>
        </w:numPr>
        <w:spacing w:line="360" w:lineRule="auto"/>
        <w:mirrorIndents/>
        <w:rPr>
          <w:rFonts w:ascii="Times New Roman" w:eastAsiaTheme="minorHAnsi" w:hAnsi="Times New Roman"/>
          <w:vanish/>
        </w:rPr>
      </w:pPr>
    </w:p>
    <w:p w:rsidR="00547468" w:rsidRPr="00547468" w:rsidRDefault="00547468" w:rsidP="00547468">
      <w:pPr>
        <w:pStyle w:val="PargrafodaLista"/>
        <w:numPr>
          <w:ilvl w:val="1"/>
          <w:numId w:val="11"/>
        </w:numPr>
        <w:spacing w:line="360" w:lineRule="auto"/>
        <w:ind w:left="0" w:firstLine="709"/>
        <w:mirrorIndents/>
        <w:rPr>
          <w:rFonts w:ascii="Times New Roman" w:eastAsiaTheme="minorHAnsi" w:hAnsi="Times New Roman"/>
        </w:rPr>
      </w:pPr>
      <w:r w:rsidRPr="00547468">
        <w:rPr>
          <w:rFonts w:ascii="Times New Roman" w:eastAsiaTheme="minorHAnsi" w:hAnsi="Times New Roman"/>
        </w:rPr>
        <w:t>Os Serviços iniciais serão medidos apenas quando todos os equipamentos e ferramentas necessários ao início da execução dos serviços estiverem no local, compreendendo os seguintes itens: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t>MOBILIZAÇÃO DE EQUIPAMENTOS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 xml:space="preserve"> A Mobilização de Equipamentos deverá ser comtemplado na primeira medição, desde que toda mobilização esteja concluída. Em caso de mobilização parcial a fiscalização poderá optar por medir fração proporcional a mobilização efetuada.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Default="00547468" w:rsidP="00547468">
      <w:pPr>
        <w:spacing w:line="360" w:lineRule="auto"/>
        <w:ind w:left="1843" w:firstLine="709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47468" w:rsidRDefault="00547468" w:rsidP="00547468">
      <w:pPr>
        <w:spacing w:line="360" w:lineRule="auto"/>
        <w:ind w:left="1843" w:firstLine="709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47468" w:rsidRDefault="00547468" w:rsidP="00547468">
      <w:pPr>
        <w:spacing w:line="360" w:lineRule="auto"/>
        <w:ind w:left="1843" w:firstLine="709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lastRenderedPageBreak/>
        <w:t>ADMINISTRAÇÃO DA OBRA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 xml:space="preserve"> A Administração da Obra prevê um técnico sênior mensal para acompanhamento da obra, devendo este item ser medido apenas com comprovação da presença deste na obra através dos </w:t>
      </w:r>
      <w:proofErr w:type="spellStart"/>
      <w:r w:rsidRPr="00BC769D">
        <w:rPr>
          <w:rFonts w:ascii="Times New Roman" w:hAnsi="Times New Roman" w:cs="Times New Roman"/>
        </w:rPr>
        <w:t>RDOs</w:t>
      </w:r>
      <w:proofErr w:type="spellEnd"/>
      <w:r w:rsidRPr="00BC769D">
        <w:rPr>
          <w:rFonts w:ascii="Times New Roman" w:hAnsi="Times New Roman" w:cs="Times New Roman"/>
        </w:rPr>
        <w:t xml:space="preserve"> e acompanhamento do fiscal do contrato.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pStyle w:val="PargrafodaLista"/>
        <w:numPr>
          <w:ilvl w:val="1"/>
          <w:numId w:val="11"/>
        </w:numPr>
        <w:spacing w:line="360" w:lineRule="auto"/>
        <w:ind w:left="0" w:firstLine="709"/>
        <w:mirrorIndents/>
        <w:rPr>
          <w:rFonts w:ascii="Times New Roman" w:eastAsiaTheme="minorHAnsi" w:hAnsi="Times New Roman"/>
          <w:lang w:eastAsia="en-US"/>
        </w:rPr>
      </w:pPr>
      <w:r w:rsidRPr="00BC769D">
        <w:rPr>
          <w:rFonts w:ascii="Times New Roman" w:eastAsiaTheme="minorHAnsi" w:hAnsi="Times New Roman"/>
        </w:rPr>
        <w:t>As</w:t>
      </w:r>
      <w:r w:rsidRPr="00BC769D">
        <w:rPr>
          <w:rFonts w:ascii="Times New Roman" w:eastAsiaTheme="minorHAnsi" w:hAnsi="Times New Roman"/>
          <w:lang w:eastAsia="en-US"/>
        </w:rPr>
        <w:t xml:space="preserve"> Demolições e Retiradas serão referente ao serviço preliminar à construção das bases para instalação das placas (sinalização vertical), estas consistem em: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pStyle w:val="parag1"/>
        <w:spacing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ESCAVAÇÃO MANUAL DE VALA</w:t>
      </w:r>
    </w:p>
    <w:p w:rsidR="00547468" w:rsidRPr="00BC769D" w:rsidRDefault="00547468" w:rsidP="00547468">
      <w:pPr>
        <w:pStyle w:val="parag1"/>
        <w:spacing w:before="120" w:after="120" w:line="360" w:lineRule="auto"/>
        <w:ind w:firstLine="709"/>
        <w:mirrorIndents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A medição será efetuada por metro cúbico (m3) de terra escavada, retirado e recolocado conforme determinação de projeto. Será necessário medir a cubagem da área onde foi retirado o material.</w:t>
      </w:r>
    </w:p>
    <w:p w:rsidR="00547468" w:rsidRPr="00BC769D" w:rsidRDefault="00547468" w:rsidP="00547468">
      <w:pPr>
        <w:pStyle w:val="parag1"/>
        <w:spacing w:before="120" w:after="120" w:line="360" w:lineRule="auto"/>
        <w:ind w:left="0" w:firstLine="709"/>
        <w:mirrorIndents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Esse volume será determinado baseando e limitado às seções de projeto. </w:t>
      </w:r>
    </w:p>
    <w:p w:rsidR="00547468" w:rsidRDefault="00547468" w:rsidP="00547468">
      <w:pPr>
        <w:pStyle w:val="parag1"/>
        <w:spacing w:line="360" w:lineRule="auto"/>
        <w:ind w:left="0" w:firstLine="709"/>
        <w:mirrorIndents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ag1"/>
        <w:spacing w:before="120" w:after="120"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DEMOLIÇÃO DE CONCRETO</w:t>
      </w:r>
    </w:p>
    <w:p w:rsidR="00547468" w:rsidRPr="00BC769D" w:rsidRDefault="00547468" w:rsidP="00547468">
      <w:pPr>
        <w:pStyle w:val="parag1"/>
        <w:spacing w:before="120" w:after="120" w:line="360" w:lineRule="auto"/>
        <w:ind w:firstLine="709"/>
        <w:mirrorIndents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A medição será efetuada por metro cúbico (m3) de concreto demolido, conforme determinação da FISCALIZAÇÃO. Será necessário medir a cubagem da área onde foi demolido o material.</w:t>
      </w:r>
    </w:p>
    <w:p w:rsidR="00547468" w:rsidRPr="00BC769D" w:rsidRDefault="00547468" w:rsidP="00547468">
      <w:pPr>
        <w:pStyle w:val="parag1"/>
        <w:spacing w:before="120" w:after="120" w:line="360" w:lineRule="auto"/>
        <w:ind w:firstLine="709"/>
        <w:mirrorIndents/>
        <w:rPr>
          <w:rFonts w:ascii="Times New Roman" w:eastAsiaTheme="minorHAnsi" w:hAnsi="Times New Roman"/>
          <w:b w:val="0"/>
          <w:szCs w:val="22"/>
          <w:lang w:val="pt-BR" w:eastAsia="en-US"/>
        </w:rPr>
      </w:pPr>
    </w:p>
    <w:p w:rsidR="00547468" w:rsidRPr="00BC769D" w:rsidRDefault="00547468" w:rsidP="00547468">
      <w:pPr>
        <w:pStyle w:val="parag1"/>
        <w:spacing w:before="120" w:after="120"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CARGA MECANIZADA C/BOTA FORA</w:t>
      </w:r>
    </w:p>
    <w:p w:rsidR="00547468" w:rsidRPr="00BC769D" w:rsidRDefault="00547468" w:rsidP="00547468">
      <w:pPr>
        <w:pStyle w:val="parag1"/>
        <w:spacing w:before="120" w:after="120" w:line="360" w:lineRule="auto"/>
        <w:ind w:firstLine="709"/>
        <w:mirrorIndents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Será medido por m3, deve ser calculado limitando-se ao quantitativo do material escavado multiplicado pelo fator de </w:t>
      </w:r>
      <w:proofErr w:type="spellStart"/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empolamento</w:t>
      </w:r>
      <w:proofErr w:type="spellEnd"/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 de 1,30 (o coeficiente de </w:t>
      </w:r>
      <w:proofErr w:type="spellStart"/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empolamento</w:t>
      </w:r>
      <w:proofErr w:type="spellEnd"/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 já está considerado no quantitativo em orçamento).</w:t>
      </w:r>
    </w:p>
    <w:p w:rsidR="00547468" w:rsidRDefault="00547468" w:rsidP="00547468">
      <w:pPr>
        <w:pStyle w:val="parag1"/>
        <w:spacing w:before="120" w:after="120" w:line="360" w:lineRule="auto"/>
        <w:ind w:firstLine="709"/>
        <w:mirrorIndents/>
        <w:rPr>
          <w:rFonts w:cs="Arial"/>
          <w:b w:val="0"/>
          <w:bCs/>
          <w:color w:val="000000"/>
          <w:sz w:val="20"/>
          <w:lang w:val="pt-BR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lastRenderedPageBreak/>
        <w:t>Será efetuado de acordo com a medição, pelo preço unitário apresentada para o item na Planilha de Preços constante na proposta da CONTRATADA, que é a compensação integral pelo fornecimento de ferramentas, equipamentos, materiais e mão de obra necessária à completa</w:t>
      </w:r>
      <w:r>
        <w:rPr>
          <w:rFonts w:cs="Arial"/>
          <w:b w:val="0"/>
          <w:bCs/>
          <w:color w:val="000000"/>
          <w:sz w:val="20"/>
          <w:lang w:val="pt-BR"/>
        </w:rPr>
        <w:t xml:space="preserve"> execução dos serviços.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pStyle w:val="PargrafodaLista"/>
        <w:numPr>
          <w:ilvl w:val="1"/>
          <w:numId w:val="11"/>
        </w:numPr>
        <w:spacing w:line="360" w:lineRule="auto"/>
        <w:ind w:left="0" w:firstLine="709"/>
        <w:mirrorIndents/>
        <w:rPr>
          <w:rFonts w:ascii="Times New Roman" w:eastAsiaTheme="minorHAnsi" w:hAnsi="Times New Roman"/>
          <w:lang w:eastAsia="en-US"/>
        </w:rPr>
      </w:pPr>
      <w:r w:rsidRPr="00BC769D">
        <w:rPr>
          <w:rFonts w:ascii="Times New Roman" w:eastAsiaTheme="minorHAnsi" w:hAnsi="Times New Roman"/>
          <w:lang w:eastAsia="en-US"/>
        </w:rPr>
        <w:t>As Bases e Fundações serão referente ao serviço de construção das bases para instalação das placas (sinalização vertical), estas consistem em:</w:t>
      </w:r>
    </w:p>
    <w:p w:rsidR="00547468" w:rsidRDefault="00547468" w:rsidP="00547468">
      <w:pPr>
        <w:pStyle w:val="parag1"/>
        <w:spacing w:line="360" w:lineRule="auto"/>
        <w:ind w:left="1134" w:firstLine="709"/>
        <w:mirrorIndents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ag1"/>
        <w:spacing w:before="120" w:after="120"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FORNECIMENTO E LANÇAMENTO DE CONCRETO 15MPA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A medição será feita por metro cúbico aplicado deste item. Desta forma, deverá ser medido as dimensões do local aplicado, ou seja, largura x comprimento, e multiplicar pela espessura do concreto aplicado (verificar in loco). 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Esse volume será determinado baseando-se nas seções medidas no local, limitado às seções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Será efetuado de acordo com a medição, pelo preço unitário apresentado para o item na Planilha de Preços constante na proposta da CONTRATADA, que é a compensação integral pelo fornecimento de material, manuseio, transporte, instalação e tudo o mais necessário à perfeita conclusão do serviço.</w:t>
      </w:r>
    </w:p>
    <w:p w:rsidR="00547468" w:rsidRDefault="00547468" w:rsidP="00547468">
      <w:pPr>
        <w:pStyle w:val="parag1"/>
        <w:spacing w:line="360" w:lineRule="auto"/>
        <w:ind w:left="0" w:firstLine="709"/>
        <w:contextualSpacing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ag1"/>
        <w:spacing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FORNECIMENTO DE CONCRETO 40MPA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A medição será feita por metro cúbico aplicado deste item. Desta forma, deverá ser medido as dimensões do local aplicado, ou seja, área circular, e multiplicar pela espessura do concreto aplicado (verificar in loco). 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Esse volume será determinado baseando-se nas seções medidas no local, limitado às seções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Será efetuado de acordo com a medição, pelo preço unitário apresentado para o item na Planilha de Preços constante na proposta da CONTRATADA, que é a compensação integral </w:t>
      </w: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lastRenderedPageBreak/>
        <w:t>pelo fornecimento de material, manuseio, transporte, instalação e tudo o mais necessário à perfeita conclusão do serviço.</w:t>
      </w:r>
    </w:p>
    <w:p w:rsidR="00547468" w:rsidRDefault="00547468" w:rsidP="00547468">
      <w:pPr>
        <w:pStyle w:val="parag1"/>
        <w:spacing w:line="360" w:lineRule="auto"/>
        <w:ind w:left="0" w:firstLine="709"/>
        <w:contextualSpacing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ag1"/>
        <w:spacing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LANÇAMENTO DE CONCRETO 40MPA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A medição será feita por metro cúbico aplicado deste item. Desta forma, deverá ser medido as dimensões do local aplicado, ou seja, área circular, e multiplicar pela espessura do concreto aplicado (verificar in loco). </w:t>
      </w:r>
    </w:p>
    <w:p w:rsidR="00547468" w:rsidRDefault="00547468" w:rsidP="00547468">
      <w:pPr>
        <w:pStyle w:val="parag1"/>
        <w:spacing w:line="360" w:lineRule="auto"/>
        <w:ind w:left="0" w:firstLine="709"/>
        <w:contextualSpacing/>
        <w:rPr>
          <w:rFonts w:cs="Arial"/>
          <w:b w:val="0"/>
          <w:bCs/>
          <w:color w:val="000000"/>
          <w:sz w:val="20"/>
          <w:lang w:val="pt-BR"/>
        </w:rPr>
      </w:pPr>
      <w:r>
        <w:rPr>
          <w:rFonts w:cs="Arial"/>
          <w:b w:val="0"/>
          <w:bCs/>
          <w:color w:val="000000"/>
          <w:sz w:val="20"/>
          <w:lang w:val="pt-BR"/>
        </w:rPr>
        <w:t>Esse volume será determinado baseando-se nas seções medidas no local, limitado às seções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Será efetuado de acordo com a medição, pelo preço unitário apresentado para o item na Planilha de Preços constante na proposta da CONTRATADA, que é a compensação integral pelo fornecimento de material, manuseio, transporte, instalação e tudo o mais necessário à perfeita conclusão do serviço.</w:t>
      </w:r>
    </w:p>
    <w:p w:rsidR="00547468" w:rsidRDefault="00547468" w:rsidP="00547468">
      <w:pPr>
        <w:pStyle w:val="parag1"/>
        <w:spacing w:line="360" w:lineRule="auto"/>
        <w:ind w:left="0" w:firstLine="709"/>
        <w:contextualSpacing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ag1"/>
        <w:spacing w:line="360" w:lineRule="auto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BARRA CHARA 6”x1/8”</w:t>
      </w:r>
    </w:p>
    <w:p w:rsidR="00547468" w:rsidRDefault="00547468" w:rsidP="00547468">
      <w:pPr>
        <w:pStyle w:val="parag1"/>
        <w:spacing w:line="360" w:lineRule="auto"/>
        <w:ind w:left="0" w:firstLine="709"/>
        <w:contextualSpacing/>
        <w:rPr>
          <w:rFonts w:cs="Arial"/>
          <w:b w:val="0"/>
          <w:bCs/>
          <w:color w:val="000000"/>
          <w:sz w:val="20"/>
          <w:lang w:val="pt-BR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A medição será feita por metro linear aplicado deste item. Desta forma, deverá ser medida a</w:t>
      </w:r>
      <w:r>
        <w:rPr>
          <w:rFonts w:cs="Arial"/>
          <w:b w:val="0"/>
          <w:bCs/>
          <w:color w:val="000000"/>
          <w:sz w:val="20"/>
          <w:lang w:val="pt-BR"/>
        </w:rPr>
        <w:t xml:space="preserve"> quantidade aplicada em um dos blocos circulares de suporte de placas e multiplicar pelo total de blocos fornecidos. 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jc w:val="center"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Esse quantitativo será determinado baseando-se nas dimensõe</w:t>
      </w:r>
      <w:r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s medidas no local, limitado às </w:t>
      </w: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dimensões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jc w:val="center"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Será efetuado de acordo com a medição, pelo preço unitário apresentado para o item na Planilha de Preços constante na proposta da CONTRATADA, que é a compensação integral pelo fornecimento de material, manuseio, transporte, instalação e tudo o mais necessário à perfeita conclusão do serviço.</w:t>
      </w:r>
    </w:p>
    <w:p w:rsidR="00547468" w:rsidRPr="00BC769D" w:rsidRDefault="00547468" w:rsidP="00547468">
      <w:pPr>
        <w:pStyle w:val="parag1"/>
        <w:spacing w:line="360" w:lineRule="auto"/>
        <w:ind w:left="0" w:firstLine="0"/>
        <w:mirrorIndents/>
        <w:rPr>
          <w:rFonts w:ascii="Times New Roman" w:eastAsiaTheme="minorHAnsi" w:hAnsi="Times New Roman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szCs w:val="22"/>
          <w:lang w:val="pt-BR" w:eastAsia="en-US"/>
        </w:rPr>
        <w:t>ARMACAO EM TELA DE ACO SOLDADA NERVURADA Q-138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 xml:space="preserve">A medição será feita por quilo de tela efetivamente aplicada ao pré-moldado de sustentação das placas. Desta forma, deverá ser medida a área de tela aplicada, multiplicada pelo peso por metro quadrado e em seguida se multiplicar pelo total de blocos fornecidos. 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lastRenderedPageBreak/>
        <w:t>Esse quantitativo será determinado baseando-se nas dimensões medidas no local, limitado às dimensões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Será efetuado de acordo com a medição, pelo preço unitário apresentado para o item na Planilha de Preços constante na proposta da CONTRATADA, que é a compensação integral pelo</w:t>
      </w:r>
      <w:r>
        <w:rPr>
          <w:rFonts w:cs="Arial"/>
          <w:b w:val="0"/>
          <w:bCs/>
          <w:color w:val="000000"/>
          <w:sz w:val="20"/>
          <w:lang w:val="pt-BR"/>
        </w:rPr>
        <w:t xml:space="preserve"> </w:t>
      </w: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fornecimento de material, manuseio, transporte, instalação e tudo o mais necessário à perfeita conclusão do serviço.</w:t>
      </w:r>
    </w:p>
    <w:p w:rsidR="00547468" w:rsidRDefault="00547468" w:rsidP="00547468">
      <w:pPr>
        <w:pStyle w:val="parag1"/>
        <w:spacing w:before="120" w:after="120" w:line="360" w:lineRule="auto"/>
        <w:ind w:left="0" w:firstLine="709"/>
        <w:mirrorIndents/>
        <w:rPr>
          <w:rFonts w:cs="Arial"/>
          <w:b w:val="0"/>
          <w:bCs/>
          <w:color w:val="000000"/>
          <w:sz w:val="20"/>
          <w:lang w:val="pt-BR"/>
        </w:rPr>
      </w:pPr>
    </w:p>
    <w:p w:rsidR="00547468" w:rsidRPr="00BC769D" w:rsidRDefault="00547468" w:rsidP="00547468">
      <w:pPr>
        <w:pStyle w:val="PargrafodaLista"/>
        <w:numPr>
          <w:ilvl w:val="1"/>
          <w:numId w:val="11"/>
        </w:numPr>
        <w:spacing w:line="360" w:lineRule="auto"/>
        <w:ind w:left="0" w:firstLine="709"/>
        <w:mirrorIndents/>
        <w:rPr>
          <w:rFonts w:ascii="Times New Roman" w:eastAsiaTheme="minorHAnsi" w:hAnsi="Times New Roman"/>
          <w:lang w:eastAsia="en-US"/>
        </w:rPr>
      </w:pPr>
      <w:r w:rsidRPr="00BC769D">
        <w:rPr>
          <w:rFonts w:ascii="Times New Roman" w:eastAsiaTheme="minorHAnsi" w:hAnsi="Times New Roman"/>
          <w:lang w:eastAsia="en-US"/>
        </w:rPr>
        <w:t xml:space="preserve">Para o Item de Sinalização de Trânsito, 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BC769D">
        <w:rPr>
          <w:rFonts w:ascii="Times New Roman" w:eastAsiaTheme="minorHAnsi" w:hAnsi="Times New Roman"/>
          <w:lang w:eastAsia="en-US"/>
        </w:rPr>
        <w:t>será considerado: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t>SINALIZAÇÃO HORIZONTAL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 xml:space="preserve">Pintura da sinalização horizontal da pavimentação em tinta </w:t>
      </w:r>
      <w:proofErr w:type="spellStart"/>
      <w:r w:rsidRPr="00BC769D">
        <w:rPr>
          <w:rFonts w:ascii="Times New Roman" w:hAnsi="Times New Roman" w:cs="Times New Roman"/>
        </w:rPr>
        <w:t>retrorefletiva</w:t>
      </w:r>
      <w:proofErr w:type="spellEnd"/>
      <w:r w:rsidRPr="00BC769D">
        <w:rPr>
          <w:rFonts w:ascii="Times New Roman" w:hAnsi="Times New Roman" w:cs="Times New Roman"/>
        </w:rPr>
        <w:t xml:space="preserve"> conforme indicado pela fiscalização – será medido por área (m2) efetivamente aplicada, conforme critérios abaixo: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Para faixas de bordo, centrais e de retenção, deverá ser medida a extensão da faixa e multiplicar-se pela espessura da mesma.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Para faixas de pedestre, deverá ser medida a área total da pintura realizada, ou seja, toda a área zebrada.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Para as pinturas de texto e setas, deverá ser medida a área total da pintura realizada.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Esse quantitativo será determinado baseando-se nas dimensões medidas no local, limitado às dimensões de projeto.</w:t>
      </w:r>
    </w:p>
    <w:p w:rsidR="00547468" w:rsidRPr="00BC769D" w:rsidRDefault="00547468" w:rsidP="00547468">
      <w:pPr>
        <w:pStyle w:val="parag1"/>
        <w:spacing w:line="360" w:lineRule="auto"/>
        <w:ind w:left="0" w:firstLine="709"/>
        <w:contextualSpacing/>
        <w:rPr>
          <w:rFonts w:ascii="Times New Roman" w:eastAsiaTheme="minorHAnsi" w:hAnsi="Times New Roman"/>
          <w:b w:val="0"/>
          <w:szCs w:val="22"/>
          <w:lang w:val="pt-BR" w:eastAsia="en-US"/>
        </w:rPr>
      </w:pPr>
      <w:r w:rsidRPr="00BC769D">
        <w:rPr>
          <w:rFonts w:ascii="Times New Roman" w:eastAsiaTheme="minorHAnsi" w:hAnsi="Times New Roman"/>
          <w:b w:val="0"/>
          <w:szCs w:val="22"/>
          <w:lang w:val="pt-BR" w:eastAsia="en-US"/>
        </w:rPr>
        <w:t>Será efetuado de acordo com a medição, pelo preço unitário apresentado para o item na Planilha de Preços constante na proposta da CONTRATADA, que é a compensação integral pelo fornecimento de material, manuseio, transporte, instalação e tudo o mais necessário à perfeita conclusão do serviço.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t>TACHAS E TACHÕES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>Serão medidos por unidades fornecidas e instaladas. Conforme indicado em projeto.</w:t>
      </w:r>
    </w:p>
    <w:p w:rsidR="007D4B11" w:rsidRDefault="007D4B11" w:rsidP="00547468">
      <w:pPr>
        <w:spacing w:after="0" w:line="360" w:lineRule="auto"/>
        <w:ind w:firstLine="709"/>
        <w:mirrorIndents/>
        <w:rPr>
          <w:rFonts w:ascii="Times New Roman" w:hAnsi="Times New Roman" w:cs="Times New Roman"/>
          <w:b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lastRenderedPageBreak/>
        <w:t>FORNECIMENTO E INSTALAÇÃO DE PLACAS</w:t>
      </w: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>Fornecimento e instalação de placas (sinalização vertical) conforme Código de Trânsito Brasileiro, será medido pelas áreas das placas, não deverá incluir nesta medição o tubo suporte da placa, bem como demais materiais e sérvios necessários à sua instalação, posto que os mesmos já estão considerados na composição de custo unitário.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>Para o Item de Sinalização de Segurança do Trabalho / Meio Ambiente, será considerado o mesmo critério utilizado nos itens de sinalização viária vertical</w:t>
      </w:r>
      <w:r>
        <w:rPr>
          <w:rFonts w:ascii="Times New Roman" w:hAnsi="Times New Roman" w:cs="Times New Roman"/>
        </w:rPr>
        <w:t>.</w:t>
      </w:r>
    </w:p>
    <w:p w:rsidR="00547468" w:rsidRDefault="00547468" w:rsidP="00547468">
      <w:pPr>
        <w:spacing w:after="0" w:line="360" w:lineRule="auto"/>
        <w:ind w:firstLine="709"/>
        <w:mirrorIndents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47468" w:rsidRPr="00BC769D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</w:rPr>
      </w:pPr>
      <w:r w:rsidRPr="00BC769D">
        <w:rPr>
          <w:rFonts w:ascii="Times New Roman" w:hAnsi="Times New Roman" w:cs="Times New Roman"/>
          <w:b/>
        </w:rPr>
        <w:t>DESMOBILIZAÇÃO DE EQUIPAMENTOS</w:t>
      </w:r>
    </w:p>
    <w:p w:rsidR="00547468" w:rsidRPr="00BC769D" w:rsidRDefault="00547468" w:rsidP="00547468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</w:rPr>
      </w:pPr>
      <w:r w:rsidRPr="00BC769D">
        <w:rPr>
          <w:rFonts w:ascii="Times New Roman" w:hAnsi="Times New Roman" w:cs="Times New Roman"/>
        </w:rPr>
        <w:t>A Desmobilização referente será medida de uma única vez após a desmobilização concluída.</w:t>
      </w:r>
    </w:p>
    <w:p w:rsidR="00547468" w:rsidRPr="002A1140" w:rsidRDefault="00547468" w:rsidP="00547468">
      <w:pPr>
        <w:spacing w:after="0" w:line="360" w:lineRule="auto"/>
        <w:ind w:firstLine="709"/>
        <w:mirrorIndents/>
        <w:jc w:val="both"/>
        <w:rPr>
          <w:rFonts w:ascii="Times New Roman" w:hAnsi="Times New Roman"/>
          <w:bCs/>
          <w:color w:val="000000"/>
        </w:rPr>
      </w:pPr>
      <w:r w:rsidRPr="00BC769D">
        <w:t xml:space="preserve"> </w:t>
      </w:r>
      <w:r w:rsidRPr="00547468">
        <w:rPr>
          <w:rFonts w:ascii="Times New Roman" w:hAnsi="Times New Roman" w:cs="Times New Roman"/>
        </w:rPr>
        <w:t>Nenhum</w:t>
      </w:r>
      <w:r w:rsidRPr="00BC769D">
        <w:t xml:space="preserve"> material será medido sem sua aplicação na obra, mesmo</w:t>
      </w:r>
      <w:r>
        <w:t xml:space="preserve"> que esteja em canteiro de obra.</w:t>
      </w:r>
    </w:p>
    <w:sectPr w:rsidR="00547468" w:rsidRPr="002A1140" w:rsidSect="009A3E00">
      <w:headerReference w:type="default" r:id="rId11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11" w:rsidRDefault="007D4B11" w:rsidP="007D4B11">
      <w:pPr>
        <w:spacing w:after="0" w:line="240" w:lineRule="auto"/>
      </w:pPr>
      <w:r>
        <w:separator/>
      </w:r>
    </w:p>
  </w:endnote>
  <w:endnote w:type="continuationSeparator" w:id="0">
    <w:p w:rsidR="007D4B11" w:rsidRDefault="007D4B11" w:rsidP="007D4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11" w:rsidRDefault="007D4B11" w:rsidP="007D4B11">
      <w:pPr>
        <w:spacing w:after="0" w:line="240" w:lineRule="auto"/>
      </w:pPr>
      <w:r>
        <w:separator/>
      </w:r>
    </w:p>
  </w:footnote>
  <w:footnote w:type="continuationSeparator" w:id="0">
    <w:p w:rsidR="007D4B11" w:rsidRDefault="007D4B11" w:rsidP="007D4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11" w:rsidRDefault="007D4B11">
    <w:pPr>
      <w:pStyle w:val="Cabealho"/>
    </w:pPr>
  </w:p>
  <w:tbl>
    <w:tblPr>
      <w:tblStyle w:val="Tabelacomgrade"/>
      <w:tblW w:w="8653" w:type="dxa"/>
      <w:tblInd w:w="102" w:type="dxa"/>
      <w:tblLook w:val="04A0" w:firstRow="1" w:lastRow="0" w:firstColumn="1" w:lastColumn="0" w:noHBand="0" w:noVBand="1"/>
    </w:tblPr>
    <w:tblGrid>
      <w:gridCol w:w="2830"/>
      <w:gridCol w:w="2563"/>
      <w:gridCol w:w="1276"/>
      <w:gridCol w:w="850"/>
      <w:gridCol w:w="1134"/>
    </w:tblGrid>
    <w:tr w:rsidR="007D4B11" w:rsidTr="007C0BB5">
      <w:trPr>
        <w:trHeight w:val="256"/>
      </w:trPr>
      <w:tc>
        <w:tcPr>
          <w:tcW w:w="2830" w:type="dxa"/>
          <w:vMerge w:val="restart"/>
          <w:tcBorders>
            <w:right w:val="single" w:sz="4" w:space="0" w:color="auto"/>
          </w:tcBorders>
        </w:tcPr>
        <w:p w:rsidR="007D4B11" w:rsidRDefault="007D4B11" w:rsidP="007C0BB5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33B415F0" wp14:editId="1EBA746D">
                <wp:extent cx="903089" cy="980237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rca redimensionad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529" cy="986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3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7D4B11" w:rsidRPr="00E04455" w:rsidRDefault="007D4B11" w:rsidP="007C0BB5">
          <w:pPr>
            <w:jc w:val="center"/>
          </w:pPr>
          <w:r w:rsidRPr="00E04455">
            <w:rPr>
              <w:rFonts w:ascii="Calibri" w:hAnsi="Calibri" w:cs="Calibri"/>
              <w:b/>
              <w:bCs/>
            </w:rPr>
            <w:t>EMPRESA MARANHENSE DE ADMINISTRAÇÃO PORTUÁRIA</w:t>
          </w:r>
        </w:p>
      </w:tc>
    </w:tr>
    <w:tr w:rsidR="007D4B11" w:rsidTr="007C0BB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7D4B11" w:rsidRDefault="007D4B11" w:rsidP="007C0BB5">
          <w:pPr>
            <w:pStyle w:val="Cabealho"/>
          </w:pPr>
        </w:p>
      </w:tc>
      <w:tc>
        <w:tcPr>
          <w:tcW w:w="5823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7D4B11" w:rsidRDefault="007D4B11" w:rsidP="007C0BB5">
          <w:pPr>
            <w:jc w:val="center"/>
          </w:pPr>
          <w:r>
            <w:rPr>
              <w:rFonts w:ascii="Calibri" w:hAnsi="Calibri" w:cs="Calibri"/>
              <w:b/>
              <w:bCs/>
              <w:sz w:val="40"/>
              <w:szCs w:val="40"/>
            </w:rPr>
            <w:t>E M A P</w:t>
          </w:r>
        </w:p>
      </w:tc>
    </w:tr>
    <w:tr w:rsidR="007D4B11" w:rsidTr="007C0BB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7D4B11" w:rsidRDefault="007D4B11" w:rsidP="007C0BB5">
          <w:pPr>
            <w:pStyle w:val="Cabealho"/>
          </w:pPr>
        </w:p>
      </w:tc>
      <w:tc>
        <w:tcPr>
          <w:tcW w:w="5823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7D4B11" w:rsidRPr="00E04455" w:rsidRDefault="007D4B11" w:rsidP="007C0BB5">
          <w:pPr>
            <w:jc w:val="center"/>
            <w:rPr>
              <w:sz w:val="16"/>
              <w:szCs w:val="16"/>
            </w:rPr>
          </w:pPr>
          <w:r w:rsidRPr="00E04455">
            <w:rPr>
              <w:rFonts w:ascii="Calibri" w:hAnsi="Calibri" w:cs="Calibri"/>
              <w:b/>
              <w:bCs/>
              <w:sz w:val="16"/>
              <w:szCs w:val="16"/>
            </w:rPr>
            <w:t>GOVERNO DO ESTADO DO MARANHÃO</w:t>
          </w:r>
        </w:p>
      </w:tc>
    </w:tr>
    <w:tr w:rsidR="007D4B11" w:rsidTr="007C0BB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:rsidR="007D4B11" w:rsidRDefault="007D4B11" w:rsidP="007C0BB5">
          <w:pPr>
            <w:pStyle w:val="Cabealho"/>
          </w:pPr>
        </w:p>
      </w:tc>
      <w:tc>
        <w:tcPr>
          <w:tcW w:w="5823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Default="007D4B11" w:rsidP="007C0BB5">
          <w:pPr>
            <w:pStyle w:val="Cabealho"/>
          </w:pPr>
          <w:r w:rsidRPr="009F28D5">
            <w:rPr>
              <w:rFonts w:ascii="Calibri" w:hAnsi="Calibri" w:cs="Calibri"/>
              <w:sz w:val="16"/>
              <w:szCs w:val="16"/>
            </w:rPr>
            <w:t>TÍTULO:</w:t>
          </w:r>
        </w:p>
      </w:tc>
    </w:tr>
    <w:tr w:rsidR="007D4B11" w:rsidTr="007C0BB5">
      <w:trPr>
        <w:trHeight w:val="364"/>
      </w:trPr>
      <w:tc>
        <w:tcPr>
          <w:tcW w:w="2830" w:type="dxa"/>
          <w:vMerge/>
          <w:tcBorders>
            <w:bottom w:val="single" w:sz="4" w:space="0" w:color="auto"/>
            <w:right w:val="single" w:sz="4" w:space="0" w:color="auto"/>
          </w:tcBorders>
        </w:tcPr>
        <w:p w:rsidR="007D4B11" w:rsidRDefault="007D4B11" w:rsidP="007C0BB5">
          <w:pPr>
            <w:pStyle w:val="Cabealho"/>
          </w:pPr>
        </w:p>
      </w:tc>
      <w:tc>
        <w:tcPr>
          <w:tcW w:w="5823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Pr="0072430F" w:rsidRDefault="007D4B11" w:rsidP="007C0BB5">
          <w:pPr>
            <w:pStyle w:val="Cabealho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CRITÉRIO DE MEDIÇÃO</w:t>
          </w:r>
        </w:p>
      </w:tc>
    </w:tr>
    <w:tr w:rsidR="007D4B11" w:rsidTr="007C0BB5">
      <w:trPr>
        <w:trHeight w:val="168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Default="007D4B11" w:rsidP="007C0BB5">
          <w:r w:rsidRPr="00B67E5F">
            <w:t>N.º PROCESSO EMAP:</w:t>
          </w:r>
        </w:p>
      </w:tc>
      <w:tc>
        <w:tcPr>
          <w:tcW w:w="5823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E04455" w:rsidRDefault="007D4B11" w:rsidP="007C0BB5">
          <w:pPr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OBJETO</w:t>
          </w:r>
          <w:r w:rsidRPr="00E04455">
            <w:rPr>
              <w:rFonts w:ascii="Calibri" w:hAnsi="Calibri" w:cs="Calibri"/>
              <w:sz w:val="16"/>
              <w:szCs w:val="16"/>
            </w:rPr>
            <w:t>:</w:t>
          </w:r>
        </w:p>
      </w:tc>
    </w:tr>
    <w:tr w:rsidR="007D4B11" w:rsidTr="007C0BB5">
      <w:trPr>
        <w:trHeight w:val="1056"/>
      </w:trPr>
      <w:tc>
        <w:tcPr>
          <w:tcW w:w="28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Default="007D4B11" w:rsidP="007C0BB5"/>
      </w:tc>
      <w:tc>
        <w:tcPr>
          <w:tcW w:w="5823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Pr="00527F31" w:rsidRDefault="007D4B11" w:rsidP="007C0BB5">
          <w:pPr>
            <w:spacing w:line="280" w:lineRule="atLeast"/>
            <w:ind w:right="-108"/>
            <w:jc w:val="both"/>
            <w:rPr>
              <w:rFonts w:eastAsia="Times New Roman" w:cstheme="minorHAnsi"/>
              <w:b/>
              <w:sz w:val="20"/>
              <w:szCs w:val="20"/>
              <w:lang w:eastAsia="pt-BR"/>
            </w:rPr>
          </w:pPr>
          <w:r w:rsidRPr="007419D3">
            <w:rPr>
              <w:rFonts w:ascii="Arial" w:hAnsi="Arial" w:cs="Arial"/>
              <w:bCs/>
              <w:sz w:val="20"/>
              <w:szCs w:val="20"/>
            </w:rPr>
            <w:t xml:space="preserve">Contratação de empresa especializada para </w:t>
          </w:r>
          <w:r>
            <w:rPr>
              <w:rFonts w:ascii="Arial" w:hAnsi="Arial" w:cs="Arial"/>
              <w:bCs/>
              <w:sz w:val="20"/>
              <w:szCs w:val="20"/>
            </w:rPr>
            <w:t>sinalização interna e externa do Porto Organizado do Itaqui</w:t>
          </w:r>
          <w:r w:rsidRPr="007419D3">
            <w:rPr>
              <w:rFonts w:ascii="Arial" w:hAnsi="Arial" w:cs="Arial"/>
              <w:bCs/>
              <w:sz w:val="20"/>
              <w:szCs w:val="20"/>
            </w:rPr>
            <w:t>.</w:t>
          </w:r>
        </w:p>
      </w:tc>
    </w:tr>
    <w:tr w:rsidR="007D4B11" w:rsidTr="007C0BB5">
      <w:trPr>
        <w:trHeight w:val="301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EC545A" w:rsidRDefault="007D4B11" w:rsidP="007C0BB5">
          <w:pPr>
            <w:pStyle w:val="Cabealho"/>
          </w:pPr>
          <w:r w:rsidRPr="00EC545A">
            <w:t>Responsável pela Solicitação:</w:t>
          </w:r>
        </w:p>
      </w:tc>
      <w:tc>
        <w:tcPr>
          <w:tcW w:w="256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9F28D5" w:rsidRDefault="007D4B11" w:rsidP="007C0BB5">
          <w:pPr>
            <w:pStyle w:val="Cabealho"/>
            <w:rPr>
              <w:sz w:val="16"/>
              <w:szCs w:val="16"/>
            </w:rPr>
          </w:pPr>
          <w:r>
            <w:rPr>
              <w:rFonts w:ascii="Calibri" w:hAnsi="Calibri" w:cs="Calibri"/>
            </w:rPr>
            <w:t>Nº COTEC</w:t>
          </w:r>
          <w:r w:rsidRPr="00863410">
            <w:rPr>
              <w:rFonts w:ascii="Calibri" w:hAnsi="Calibri" w:cs="Calibri"/>
            </w:rPr>
            <w:t>: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9F28D5" w:rsidRDefault="007D4B11" w:rsidP="007C0BB5">
          <w:pPr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DATA: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9F28D5" w:rsidRDefault="007D4B11" w:rsidP="007C0BB5">
          <w:pPr>
            <w:rPr>
              <w:rFonts w:ascii="Calibri" w:hAnsi="Calibri" w:cs="Calibri"/>
              <w:sz w:val="16"/>
              <w:szCs w:val="16"/>
            </w:rPr>
          </w:pPr>
          <w:r w:rsidRPr="009F28D5">
            <w:rPr>
              <w:rFonts w:ascii="Calibri" w:hAnsi="Calibri" w:cs="Calibri"/>
              <w:sz w:val="16"/>
              <w:szCs w:val="16"/>
            </w:rPr>
            <w:t>REVISÃO: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D4B11" w:rsidRPr="009F28D5" w:rsidRDefault="007D4B11" w:rsidP="007C0BB5">
          <w:pPr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PÁGINA</w:t>
          </w:r>
          <w:r w:rsidRPr="009F28D5">
            <w:rPr>
              <w:rFonts w:ascii="Calibri" w:hAnsi="Calibri" w:cs="Calibri"/>
              <w:sz w:val="16"/>
              <w:szCs w:val="16"/>
            </w:rPr>
            <w:t>:</w:t>
          </w:r>
        </w:p>
      </w:tc>
    </w:tr>
    <w:tr w:rsidR="007D4B11" w:rsidTr="007C0BB5">
      <w:trPr>
        <w:trHeight w:val="272"/>
      </w:trPr>
      <w:tc>
        <w:tcPr>
          <w:tcW w:w="28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Pr="00EC545A" w:rsidRDefault="007D4B11" w:rsidP="007C0BB5">
          <w:pPr>
            <w:pStyle w:val="Cabealho"/>
          </w:pPr>
        </w:p>
      </w:tc>
      <w:tc>
        <w:tcPr>
          <w:tcW w:w="256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Pr="00BD3C78" w:rsidRDefault="007D4B11" w:rsidP="007C0BB5">
          <w:pPr>
            <w:pStyle w:val="Cabealho"/>
            <w:jc w:val="center"/>
            <w:rPr>
              <w:sz w:val="20"/>
              <w:szCs w:val="20"/>
            </w:rPr>
          </w:pPr>
          <w:r>
            <w:t>CM</w:t>
          </w:r>
          <w:r w:rsidRPr="00603F8F">
            <w:t>-PI-</w:t>
          </w:r>
          <w:r w:rsidR="00B62AF7">
            <w:t>1001-0001</w:t>
          </w:r>
          <w:r w:rsidR="004B4A2A">
            <w:t>-R00</w:t>
          </w:r>
        </w:p>
      </w:tc>
      <w:tc>
        <w:tcPr>
          <w:tcW w:w="127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Default="007D4B11" w:rsidP="007C0BB5">
          <w:pPr>
            <w:pStyle w:val="Cabealho"/>
            <w:jc w:val="center"/>
          </w:pPr>
          <w:r>
            <w:t>04/2015</w:t>
          </w:r>
        </w:p>
      </w:tc>
      <w:tc>
        <w:tcPr>
          <w:tcW w:w="85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4B11" w:rsidRDefault="007D4B11" w:rsidP="007C0BB5">
          <w:pPr>
            <w:pStyle w:val="Cabealho"/>
            <w:jc w:val="center"/>
          </w:pPr>
          <w:r>
            <w:t>00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7D4B11" w:rsidRDefault="007D4B11" w:rsidP="007C0BB5">
              <w:pPr>
                <w:jc w:val="center"/>
              </w:pPr>
              <w:r>
                <w:fldChar w:fldCharType="begin"/>
              </w:r>
              <w:r>
                <w:instrText xml:space="preserve"> PAGE </w:instrText>
              </w:r>
              <w:r>
                <w:fldChar w:fldCharType="separate"/>
              </w:r>
              <w:r w:rsidR="009A5D10">
                <w:rPr>
                  <w:noProof/>
                </w:rPr>
                <w:t>6</w:t>
              </w:r>
              <w:r>
                <w:rPr>
                  <w:noProof/>
                </w:rPr>
                <w:fldChar w:fldCharType="end"/>
              </w:r>
              <w:r>
                <w:t xml:space="preserve"> de </w:t>
              </w:r>
              <w:fldSimple w:instr=" NUMPAGES  ">
                <w:r w:rsidR="009A5D10">
                  <w:rPr>
                    <w:noProof/>
                  </w:rPr>
                  <w:t>6</w:t>
                </w:r>
              </w:fldSimple>
            </w:p>
          </w:sdtContent>
        </w:sdt>
      </w:tc>
    </w:tr>
  </w:tbl>
  <w:p w:rsidR="007D4B11" w:rsidRDefault="007D4B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5B8"/>
    <w:multiLevelType w:val="multilevel"/>
    <w:tmpl w:val="B9A477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9945B4"/>
    <w:multiLevelType w:val="multilevel"/>
    <w:tmpl w:val="A5647B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CA7A34"/>
    <w:multiLevelType w:val="multilevel"/>
    <w:tmpl w:val="013A5E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C37545"/>
    <w:multiLevelType w:val="hybridMultilevel"/>
    <w:tmpl w:val="F3965950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207553BF"/>
    <w:multiLevelType w:val="hybridMultilevel"/>
    <w:tmpl w:val="275EB5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B0896"/>
    <w:multiLevelType w:val="hybridMultilevel"/>
    <w:tmpl w:val="0FC446B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3436FF"/>
    <w:multiLevelType w:val="hybridMultilevel"/>
    <w:tmpl w:val="A7A298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5B1B9C"/>
    <w:multiLevelType w:val="multilevel"/>
    <w:tmpl w:val="013A5E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364731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1775840"/>
    <w:multiLevelType w:val="hybridMultilevel"/>
    <w:tmpl w:val="DA707FF8"/>
    <w:lvl w:ilvl="0" w:tplc="CBBA22D8">
      <w:start w:val="1"/>
      <w:numFmt w:val="decimal"/>
      <w:lvlText w:val="%1. 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E07B3"/>
    <w:multiLevelType w:val="multilevel"/>
    <w:tmpl w:val="3BBC0D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B1"/>
    <w:rsid w:val="00014A76"/>
    <w:rsid w:val="000214E8"/>
    <w:rsid w:val="00021F3F"/>
    <w:rsid w:val="000405D9"/>
    <w:rsid w:val="000564DF"/>
    <w:rsid w:val="000572E2"/>
    <w:rsid w:val="00062FB4"/>
    <w:rsid w:val="00077D2D"/>
    <w:rsid w:val="0008139C"/>
    <w:rsid w:val="000B279D"/>
    <w:rsid w:val="000C0707"/>
    <w:rsid w:val="000C7C03"/>
    <w:rsid w:val="000F4E91"/>
    <w:rsid w:val="001053CD"/>
    <w:rsid w:val="00124359"/>
    <w:rsid w:val="00127717"/>
    <w:rsid w:val="0014155F"/>
    <w:rsid w:val="001650B0"/>
    <w:rsid w:val="001801CD"/>
    <w:rsid w:val="00181282"/>
    <w:rsid w:val="00184E28"/>
    <w:rsid w:val="001B01DD"/>
    <w:rsid w:val="001B6FD5"/>
    <w:rsid w:val="001C2BA8"/>
    <w:rsid w:val="001F3CC1"/>
    <w:rsid w:val="001F3E4D"/>
    <w:rsid w:val="00204A72"/>
    <w:rsid w:val="00206795"/>
    <w:rsid w:val="00212F26"/>
    <w:rsid w:val="00215EDE"/>
    <w:rsid w:val="0021650C"/>
    <w:rsid w:val="002222F4"/>
    <w:rsid w:val="00231628"/>
    <w:rsid w:val="00234048"/>
    <w:rsid w:val="002502DD"/>
    <w:rsid w:val="00260580"/>
    <w:rsid w:val="002836D2"/>
    <w:rsid w:val="0029110B"/>
    <w:rsid w:val="00294C90"/>
    <w:rsid w:val="002A1140"/>
    <w:rsid w:val="002B1114"/>
    <w:rsid w:val="002C27DF"/>
    <w:rsid w:val="002C66F1"/>
    <w:rsid w:val="002D5BAB"/>
    <w:rsid w:val="002F6FF8"/>
    <w:rsid w:val="00300E56"/>
    <w:rsid w:val="00303899"/>
    <w:rsid w:val="00304799"/>
    <w:rsid w:val="00311F9D"/>
    <w:rsid w:val="00346BD5"/>
    <w:rsid w:val="00356BD1"/>
    <w:rsid w:val="00356C16"/>
    <w:rsid w:val="00363FD1"/>
    <w:rsid w:val="0036466D"/>
    <w:rsid w:val="00365847"/>
    <w:rsid w:val="003A6151"/>
    <w:rsid w:val="003B3D2A"/>
    <w:rsid w:val="003E6AF3"/>
    <w:rsid w:val="00410C7D"/>
    <w:rsid w:val="00420176"/>
    <w:rsid w:val="004446A8"/>
    <w:rsid w:val="0046546D"/>
    <w:rsid w:val="00475162"/>
    <w:rsid w:val="00486162"/>
    <w:rsid w:val="00492BAE"/>
    <w:rsid w:val="00496235"/>
    <w:rsid w:val="004A36D9"/>
    <w:rsid w:val="004A3C70"/>
    <w:rsid w:val="004B4A2A"/>
    <w:rsid w:val="004C3A1B"/>
    <w:rsid w:val="004E16DA"/>
    <w:rsid w:val="0051464D"/>
    <w:rsid w:val="00527F31"/>
    <w:rsid w:val="005415E7"/>
    <w:rsid w:val="00542A17"/>
    <w:rsid w:val="00547468"/>
    <w:rsid w:val="005621D1"/>
    <w:rsid w:val="00573156"/>
    <w:rsid w:val="005B77B1"/>
    <w:rsid w:val="005C0E80"/>
    <w:rsid w:val="005C3DCD"/>
    <w:rsid w:val="005C5F71"/>
    <w:rsid w:val="005C7FE3"/>
    <w:rsid w:val="005D3161"/>
    <w:rsid w:val="006125BA"/>
    <w:rsid w:val="00615A81"/>
    <w:rsid w:val="0062623F"/>
    <w:rsid w:val="00636B82"/>
    <w:rsid w:val="00651D8F"/>
    <w:rsid w:val="00665D99"/>
    <w:rsid w:val="00674F5A"/>
    <w:rsid w:val="00696890"/>
    <w:rsid w:val="00696AB9"/>
    <w:rsid w:val="006A56B2"/>
    <w:rsid w:val="006B054B"/>
    <w:rsid w:val="006D275F"/>
    <w:rsid w:val="006D485F"/>
    <w:rsid w:val="006E024E"/>
    <w:rsid w:val="006E794D"/>
    <w:rsid w:val="00705B07"/>
    <w:rsid w:val="007417B5"/>
    <w:rsid w:val="007419D3"/>
    <w:rsid w:val="007603D8"/>
    <w:rsid w:val="00762190"/>
    <w:rsid w:val="007815B3"/>
    <w:rsid w:val="007834E6"/>
    <w:rsid w:val="007873FB"/>
    <w:rsid w:val="007A0EDC"/>
    <w:rsid w:val="007A5B5B"/>
    <w:rsid w:val="007B5F97"/>
    <w:rsid w:val="007C5842"/>
    <w:rsid w:val="007D4B11"/>
    <w:rsid w:val="007E5B0E"/>
    <w:rsid w:val="007F5585"/>
    <w:rsid w:val="00800057"/>
    <w:rsid w:val="00800D19"/>
    <w:rsid w:val="008012C9"/>
    <w:rsid w:val="00810165"/>
    <w:rsid w:val="008120DF"/>
    <w:rsid w:val="008475A9"/>
    <w:rsid w:val="008651D4"/>
    <w:rsid w:val="008B3D66"/>
    <w:rsid w:val="008B6550"/>
    <w:rsid w:val="008D37AA"/>
    <w:rsid w:val="008F3181"/>
    <w:rsid w:val="00915482"/>
    <w:rsid w:val="009228D5"/>
    <w:rsid w:val="00933E48"/>
    <w:rsid w:val="0094236A"/>
    <w:rsid w:val="00945774"/>
    <w:rsid w:val="0094755F"/>
    <w:rsid w:val="009501F3"/>
    <w:rsid w:val="00952C9B"/>
    <w:rsid w:val="00993584"/>
    <w:rsid w:val="009963A3"/>
    <w:rsid w:val="009A3AA2"/>
    <w:rsid w:val="009A3E00"/>
    <w:rsid w:val="009A497F"/>
    <w:rsid w:val="009A5D10"/>
    <w:rsid w:val="009B141A"/>
    <w:rsid w:val="009B418A"/>
    <w:rsid w:val="009C3AD9"/>
    <w:rsid w:val="009D6ABC"/>
    <w:rsid w:val="009D77F3"/>
    <w:rsid w:val="00A01854"/>
    <w:rsid w:val="00A10367"/>
    <w:rsid w:val="00A22246"/>
    <w:rsid w:val="00A22B57"/>
    <w:rsid w:val="00A54AE2"/>
    <w:rsid w:val="00A62E4B"/>
    <w:rsid w:val="00A72764"/>
    <w:rsid w:val="00A72C74"/>
    <w:rsid w:val="00A74AAA"/>
    <w:rsid w:val="00A94F54"/>
    <w:rsid w:val="00AA638E"/>
    <w:rsid w:val="00AA6E18"/>
    <w:rsid w:val="00AC3F11"/>
    <w:rsid w:val="00AC438A"/>
    <w:rsid w:val="00B015EE"/>
    <w:rsid w:val="00B0694D"/>
    <w:rsid w:val="00B138BC"/>
    <w:rsid w:val="00B14214"/>
    <w:rsid w:val="00B15E54"/>
    <w:rsid w:val="00B277B0"/>
    <w:rsid w:val="00B50CD4"/>
    <w:rsid w:val="00B62AF7"/>
    <w:rsid w:val="00B64492"/>
    <w:rsid w:val="00B64888"/>
    <w:rsid w:val="00B7276E"/>
    <w:rsid w:val="00B777EB"/>
    <w:rsid w:val="00B80D68"/>
    <w:rsid w:val="00B82098"/>
    <w:rsid w:val="00B96512"/>
    <w:rsid w:val="00BD1BFD"/>
    <w:rsid w:val="00BD21A6"/>
    <w:rsid w:val="00BE46F0"/>
    <w:rsid w:val="00BE5A08"/>
    <w:rsid w:val="00BE6458"/>
    <w:rsid w:val="00BF3BBB"/>
    <w:rsid w:val="00BF67F2"/>
    <w:rsid w:val="00C10A09"/>
    <w:rsid w:val="00C423FE"/>
    <w:rsid w:val="00C523F7"/>
    <w:rsid w:val="00C96EBB"/>
    <w:rsid w:val="00CA457E"/>
    <w:rsid w:val="00CD0B7E"/>
    <w:rsid w:val="00CD5613"/>
    <w:rsid w:val="00CF4034"/>
    <w:rsid w:val="00D042F2"/>
    <w:rsid w:val="00D0639E"/>
    <w:rsid w:val="00D067D1"/>
    <w:rsid w:val="00D11BF9"/>
    <w:rsid w:val="00D509D5"/>
    <w:rsid w:val="00D51C40"/>
    <w:rsid w:val="00D67D0D"/>
    <w:rsid w:val="00D80EC0"/>
    <w:rsid w:val="00D85AE1"/>
    <w:rsid w:val="00D87F6D"/>
    <w:rsid w:val="00D90F6F"/>
    <w:rsid w:val="00DE1657"/>
    <w:rsid w:val="00DF0659"/>
    <w:rsid w:val="00DF489B"/>
    <w:rsid w:val="00E1522A"/>
    <w:rsid w:val="00E20A38"/>
    <w:rsid w:val="00E23374"/>
    <w:rsid w:val="00E62687"/>
    <w:rsid w:val="00E628C9"/>
    <w:rsid w:val="00E76A98"/>
    <w:rsid w:val="00E83057"/>
    <w:rsid w:val="00E87210"/>
    <w:rsid w:val="00E91159"/>
    <w:rsid w:val="00EA0ED5"/>
    <w:rsid w:val="00EA3CA6"/>
    <w:rsid w:val="00EA5B4E"/>
    <w:rsid w:val="00EA6ADD"/>
    <w:rsid w:val="00EB240B"/>
    <w:rsid w:val="00EB5CE4"/>
    <w:rsid w:val="00EC164D"/>
    <w:rsid w:val="00F23853"/>
    <w:rsid w:val="00F50CF0"/>
    <w:rsid w:val="00F71E7F"/>
    <w:rsid w:val="00F91B88"/>
    <w:rsid w:val="00F92B25"/>
    <w:rsid w:val="00F9483D"/>
    <w:rsid w:val="00FA4796"/>
    <w:rsid w:val="00FC5F3D"/>
    <w:rsid w:val="00FD27F9"/>
    <w:rsid w:val="00FE0DC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2015-02-02T00:00:00</PublishDate>
  <Abstract>O presente documento tem por objetivo apresentar critérios para medição na execução da obra complementar ao funcionamento do berço 108 do Porto de Itaqui - MA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8E90EB-0E2C-4D49-8DDF-EC44CE0C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1257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de Medição: Sinalização interna e externa do Porto</vt:lpstr>
    </vt:vector>
  </TitlesOfParts>
  <Company>EMAP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de Medição: Sinalização interna e externa do Porto</dc:title>
  <dc:creator>Alvelinda Sena de Sousa</dc:creator>
  <cp:lastModifiedBy>José Ribamar Camara Pinto</cp:lastModifiedBy>
  <cp:revision>6</cp:revision>
  <cp:lastPrinted>2015-05-04T18:58:00Z</cp:lastPrinted>
  <dcterms:created xsi:type="dcterms:W3CDTF">2015-05-04T11:18:00Z</dcterms:created>
  <dcterms:modified xsi:type="dcterms:W3CDTF">2015-05-04T18:59:00Z</dcterms:modified>
</cp:coreProperties>
</file>